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04D81" w14:textId="0CA3C07E"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gramStart"/>
            <w:r w:rsidRPr="002178F9">
              <w:rPr>
                <w:rFonts w:cstheme="minorHAnsi"/>
                <w:sz w:val="20"/>
                <w:szCs w:val="20"/>
              </w:rPr>
              <w:lastRenderedPageBreak/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</w:t>
            </w:r>
            <w:proofErr w:type="gramEnd"/>
            <w:r w:rsidRPr="002178F9">
              <w:rPr>
                <w:rFonts w:cstheme="minorHAnsi"/>
                <w:sz w:val="20"/>
                <w:szCs w:val="20"/>
              </w:rPr>
              <w:t xml:space="preserve">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t>3. Wojna III</w:t>
            </w:r>
            <w:r w:rsidR="00C67070">
              <w:t> </w:t>
            </w:r>
            <w:r w:rsidRPr="00046B91">
              <w:t xml:space="preserve">Rzeszy </w:t>
            </w:r>
            <w:r w:rsidRPr="00046B91">
              <w:lastRenderedPageBreak/>
              <w:t>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 xml:space="preserve">– wyjaśnia znaczenie terminów: plan „Barbarossa”, Wielka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wskazuje na mapie przełomowe bitwy wojny Niemiec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 xml:space="preserve">1944), bitwy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wyjaśnia przyczyny i okoliczności zdobycia przewagi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szmalcownicy, </w:t>
            </w:r>
            <w:proofErr w:type="gramStart"/>
            <w:r w:rsidRPr="00CD4C4E">
              <w:rPr>
                <w:rFonts w:cstheme="minorHAnsi"/>
                <w:sz w:val="20"/>
                <w:szCs w:val="20"/>
              </w:rPr>
              <w:t>Babi</w:t>
            </w:r>
            <w:proofErr w:type="gramEnd"/>
            <w:r w:rsidRPr="00CD4C4E">
              <w:rPr>
                <w:rFonts w:cstheme="minorHAnsi"/>
                <w:sz w:val="20"/>
                <w:szCs w:val="20"/>
              </w:rPr>
              <w:t xml:space="preserve">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Heinricha Himmlera, Josipa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wskazuje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militarne, które obie strony stosowały podczas zmagań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bezwarunkowej kapitulacji III Rzeszy (8/9 V 1945), zrzucenia bomb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pod okupacją niemiecką oraz zsyłek i kaźni ludności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podaje przykłady terroru niemieckiego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Specjalna „Kraków”, „granatowa”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Polskie Państwo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Rządu RP na Kraj,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 znaczenie terminów: sabotaż,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pod Arsenałem, zamach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zamachu na F.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omawia przebieg akcji pod Arsenałem oraz zamachu na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omawia wysiedlenia na Zamojszczyźnie i ich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opisuje postawy Polaków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6. Sprawa polska pod koniec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Represje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 xml:space="preserve">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1945), procesu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 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Ekspansja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terminów: Organizacja Narodów Zjednoczonych, układ dwubiegunowy, Powszechna deklaracja praw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znaczenie terminów: procesy norymberskie, plan 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opisuje okoliczności 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przyczyny dominacji USA i ZSRS 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Johna Fitzgeralda Kennedy’ego, Ronalda Reagana, 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3. Rozpad systemu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Wielki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0529EE">
              <w:rPr>
                <w:rFonts w:cstheme="minorHAnsi"/>
                <w:sz w:val="20"/>
                <w:szCs w:val="20"/>
                <w:highlight w:val="darkGray"/>
              </w:rPr>
              <w:t>Sena</w:t>
            </w:r>
            <w:proofErr w:type="spellEnd"/>
            <w:r w:rsidRPr="000529EE">
              <w:rPr>
                <w:rFonts w:cstheme="minorHAnsi"/>
                <w:sz w:val="20"/>
                <w:szCs w:val="20"/>
                <w:highlight w:val="darkGray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omawia sposoby realizacji i skutki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</w:r>
            <w:r w:rsidR="00FB6707"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 xml:space="preserve">– przedstawia rywalizację USA i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przedstawia przyczyny i skutki amerykańskiej 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6. Droga ku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Demokratyzacja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lastRenderedPageBreak/>
              <w:t>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powstania EWWiS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ogłoszenia planu Schumana (1950), podpisania układu w Schengen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wskazuje na mapie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Walka z segregacją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Martina Luthera Kinga, Jana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kulturowych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hasła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przykłady zespołów rockowych, które miały wpływ na kształtowanie się kultury młodzieżowej lat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wojnie światowej, kierunki powojennych przesiedleń ludności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Próba kolektywizacji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lastRenderedPageBreak/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plan sześcioletni, kolektywizacja,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zna daty: wydarzeń poznańskich (VI 1956), polskiego Października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omawia przejawy odwilży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ocenia rolę Kościoła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4. Polska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wymienia cechy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zna datę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wyjaśnia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wpływ kina moralnego niepokoju na kształtowanie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wyjaśnia znaczenie terminów: stan wojenny, Wojskowa Rada Ocalenia Narodowego (WRON),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wymienia przykłady akcji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zna daty pierwszych akcji ulicznych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ocenia wpływ Pomarańczowej Alternatywy na kształtowanie postaw antykomunistycznych i obalenie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europejskich państwach bloku wschodniego (1989–1990), zjednoczenia Niemiec (1990),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przejawy kryzysu ZSRS w latach 80.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Układu Warszawskiego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państwach bloku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„Wasz prezydent,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Obywatelski Klub Parlamentarny (OKP),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„gruba linia”/„gruba kreska”, ustalenia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przykłady zamachów terrorystycznych organizowanych przez bojowników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Rosji przeprowadzonego przez bojowników czeczeńskich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znaczenie terminów: hiperinflacja, gospodarka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 xml:space="preserve">– omawia założenia, realizację i skutki gospodarcze planu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przyczyny rozpadu obozu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14:paraId="3B8796C4" w14:textId="77777777" w:rsidR="00FD6BF5" w:rsidRDefault="00FD6BF5">
      <w:pPr>
        <w:rPr>
          <w:sz w:val="20"/>
          <w:szCs w:val="20"/>
        </w:rPr>
      </w:pPr>
    </w:p>
    <w:p w14:paraId="49953220" w14:textId="77777777" w:rsidR="00C607E7" w:rsidRDefault="00C607E7" w:rsidP="00C607E7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Zasady pracy na historii</w:t>
      </w:r>
    </w:p>
    <w:p w14:paraId="7BB0D0F6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u w:val="single"/>
        </w:rPr>
        <w:t>Uczeń ma obowiązek</w:t>
      </w:r>
      <w:r>
        <w:rPr>
          <w:sz w:val="24"/>
          <w:szCs w:val="24"/>
        </w:rPr>
        <w:t xml:space="preserve"> :</w:t>
      </w:r>
    </w:p>
    <w:p w14:paraId="494D5751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przynosić  zeszyt ćwiczeń, podręcznik oraz przybory (długopis, ołówek, gumkę, kredki)na lekcję historii,</w:t>
      </w:r>
    </w:p>
    <w:p w14:paraId="371B9245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 być przygotowanym do lekcji,</w:t>
      </w:r>
    </w:p>
    <w:p w14:paraId="37C744B9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-uzupełniać na bieżąco braki spowodowane nieobecnością na lekcji.</w:t>
      </w:r>
    </w:p>
    <w:p w14:paraId="72A43702" w14:textId="77777777" w:rsidR="00C607E7" w:rsidRDefault="00C607E7" w:rsidP="00C607E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Uczeń ma prawo :</w:t>
      </w:r>
    </w:p>
    <w:p w14:paraId="20DF44B6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nie być oceniany przez 3 dni po dłuższej przerwie /tydzień lub dłużej/</w:t>
      </w:r>
    </w:p>
    <w:p w14:paraId="305BACB2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raz w półroczu zgłosić swoje nieprzygotowanie do lekcji przed jej rozpoczęciem /  brak ćwiczeń, brak podręcznika, niegotowość  do odpowiedzi ustnej czy pisemnej/.</w:t>
      </w:r>
    </w:p>
    <w:p w14:paraId="47FCF371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Uczeń otrzymuje oceny bieżące ze sprawdzianów, kartkówek niezapowiedzianych i zapowiedzianych, odpowiedzi ustnych, orientacji na  mapie historycznej.</w:t>
      </w:r>
    </w:p>
    <w:p w14:paraId="4E141A87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Procentowy zakres na poszczególne oceny:</w:t>
      </w:r>
    </w:p>
    <w:p w14:paraId="744A9D22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95-100% - ocena celująca</w:t>
      </w:r>
    </w:p>
    <w:p w14:paraId="6D7B175C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90-94% - ocena bardzo dobra</w:t>
      </w:r>
    </w:p>
    <w:p w14:paraId="263C27EC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75-89% - ocena dobra</w:t>
      </w:r>
    </w:p>
    <w:p w14:paraId="6CD45A2E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51-74% - ocena dostateczna</w:t>
      </w:r>
    </w:p>
    <w:p w14:paraId="2994818F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30-50% ocena dopuszczająca</w:t>
      </w:r>
    </w:p>
    <w:p w14:paraId="413B25B0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poniżej 30% - ocena niedostateczna</w:t>
      </w:r>
    </w:p>
    <w:p w14:paraId="1521A981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Odpytywanie ustne i kartkówki obejmują treści z trzech ostatnich lekcji.</w:t>
      </w:r>
    </w:p>
    <w:p w14:paraId="4770882A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Ocenę  niedostateczną ze sprawdzianu uczeń może  poprawić w terminie wyznaczonym przez nauczyciela. Poprawa odbywa się tylko raz.</w:t>
      </w:r>
    </w:p>
    <w:p w14:paraId="432485FB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Wszystkie informacje dotyczące m.in. terminu sprawdzianu, uwagi, itp. będą zamieszczane w e-dzienniku.</w:t>
      </w:r>
    </w:p>
    <w:p w14:paraId="6B34B60A" w14:textId="77777777" w:rsidR="00C607E7" w:rsidRDefault="00C607E7" w:rsidP="00C60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Uczeń ubiegający się o ocenę wyższą niż przewidywana, napisze sprawdzian z tych działów z których miał oceny niższe od oceny  o jaką się ubiega.</w:t>
      </w:r>
    </w:p>
    <w:p w14:paraId="55AE3F09" w14:textId="77777777" w:rsidR="00C607E7" w:rsidRPr="000C67C6" w:rsidRDefault="00C607E7">
      <w:pPr>
        <w:rPr>
          <w:sz w:val="20"/>
          <w:szCs w:val="20"/>
        </w:rPr>
      </w:pPr>
      <w:bookmarkStart w:id="1" w:name="_GoBack"/>
      <w:bookmarkEnd w:id="1"/>
    </w:p>
    <w:sectPr w:rsidR="00C607E7" w:rsidRPr="000C67C6" w:rsidSect="00C7607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A73E4" w14:textId="77777777" w:rsidR="00F13FF7" w:rsidRDefault="00F13FF7" w:rsidP="00254330">
      <w:pPr>
        <w:spacing w:after="0" w:line="240" w:lineRule="auto"/>
      </w:pPr>
      <w:r>
        <w:separator/>
      </w:r>
    </w:p>
  </w:endnote>
  <w:endnote w:type="continuationSeparator" w:id="0">
    <w:p w14:paraId="4855DBE6" w14:textId="77777777" w:rsidR="00F13FF7" w:rsidRDefault="00F13FF7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7E7">
          <w:rPr>
            <w:noProof/>
          </w:rPr>
          <w:t>37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17893" w14:textId="77777777" w:rsidR="00F13FF7" w:rsidRDefault="00F13FF7" w:rsidP="00254330">
      <w:pPr>
        <w:spacing w:after="0" w:line="240" w:lineRule="auto"/>
      </w:pPr>
      <w:r>
        <w:separator/>
      </w:r>
    </w:p>
  </w:footnote>
  <w:footnote w:type="continuationSeparator" w:id="0">
    <w:p w14:paraId="5AFD8961" w14:textId="77777777" w:rsidR="00F13FF7" w:rsidRDefault="00F13FF7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91EB3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121B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07E7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23BB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34AF"/>
    <w:rsid w:val="00EF6985"/>
    <w:rsid w:val="00F04C01"/>
    <w:rsid w:val="00F06058"/>
    <w:rsid w:val="00F06BE9"/>
    <w:rsid w:val="00F11EA7"/>
    <w:rsid w:val="00F13FF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D5E19-04C2-49C0-854A-008178F9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7094</Words>
  <Characters>42568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Dell</cp:lastModifiedBy>
  <cp:revision>5</cp:revision>
  <dcterms:created xsi:type="dcterms:W3CDTF">2024-08-27T12:05:00Z</dcterms:created>
  <dcterms:modified xsi:type="dcterms:W3CDTF">2024-09-04T18:01:00Z</dcterms:modified>
</cp:coreProperties>
</file>