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Rewolucja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lastRenderedPageBreak/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kultura polska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Adama Mickiewicza, Juliusza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skutki wojny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Stanów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zjednoczenie Włoch i powstanie Królestwa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jakie wojny stoczono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zajęcia Wenecji przez Królestwo Włoch (1866), zajęcia Państwa Kościelnego przez Królestwo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ideologia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 przyrodniczych oraz medycyny i higieny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 xml:space="preserve">wej i przemiany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teorii ewolucji przez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lastRenderedPageBreak/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upowszechnienia sportu w drugiej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bezpośrednie represje wobec uczestników powstania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 xml:space="preserve">Piotra </w:t>
            </w:r>
            <w:r w:rsidR="009451D4" w:rsidRPr="000C67C6">
              <w:rPr>
                <w:rFonts w:cs="Humanst521EU-Normal"/>
                <w:sz w:val="20"/>
                <w:szCs w:val="20"/>
              </w:rPr>
              <w:lastRenderedPageBreak/>
              <w:t>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Reymonta, Elizy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militarnych między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 wymienia przyczynę bezpośrednią wybuchu Wielkiej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stanowisko państw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postanowienia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wielkiego kryzysu gospodarczego na sytuację polityczną 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Narodziny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 xml:space="preserve">e)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lastRenderedPageBreak/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3358A9">
      <w:pPr>
        <w:rPr>
          <w:sz w:val="20"/>
          <w:szCs w:val="20"/>
        </w:rPr>
      </w:pPr>
    </w:p>
    <w:p w:rsidR="005B6BBF" w:rsidRDefault="005B6BBF" w:rsidP="005B6BB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Zasady pracy na historii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>Uczeń ma obowiązek</w:t>
      </w:r>
      <w:r>
        <w:rPr>
          <w:sz w:val="24"/>
          <w:szCs w:val="24"/>
        </w:rPr>
        <w:t xml:space="preserve"> :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przynosić  zeszyt ćwiczeń, podręcznik oraz przybory (długopis, ołówek, gumkę, kredki)na lekcję historii,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być przygotowanym do lekcji,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-uzupełniać na bieżąco braki spowodowane nieobecnością na lekcji.</w:t>
      </w:r>
    </w:p>
    <w:p w:rsidR="005B6BBF" w:rsidRDefault="005B6BBF" w:rsidP="005B6BB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Uczeń ma prawo :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być oceniany przez 3 dni po dłuższej przerwie /tydzień lub dłużej/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raz w półroczu zgłosić swoje nieprzygotowanie do lekcji przed jej rozpoczęciem /  brak ćwiczeń, brak podręcznika, niegotowość  do odpowiedzi ustnej czy pisemnej/.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Uczeń otrzymuje oceny bieżące ze sprawdzianów, kartkówek niezapowiedzianych i zapowiedzianych, odpowiedzi ustnych, orientacji na  mapie historycznej.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Procentowy zakres na poszczególne oceny: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95-100% - ocena celująca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90-94% - ocena bardzo dobra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75-89% - ocena dobra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51-74% - ocena dostateczna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30-50% ocena dopuszczająca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poniżej 30% - ocena niedostateczna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Odpytywanie ustne i kartkówki obejmują treści z trzech ostatnich lekcji.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Ocenę  niedostateczną ze sprawdzianu uczeń może  poprawić w terminie wyznaczonym przez nauczyciela. Poprawa odbywa się tylko raz.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Wszystkie informacje dotyczące m.in. terminu sprawdzianu, uwagi, itp. będą zamieszczane w e-dzienniku.</w:t>
      </w:r>
    </w:p>
    <w:p w:rsidR="005B6BBF" w:rsidRDefault="005B6BBF" w:rsidP="005B6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Uczeń ubiegający się o ocenę wyższą niż przewidywana, napisze sprawdzian z tych działów z których miał oceny niższe od oceny  o jaką się ubiega.</w:t>
      </w:r>
    </w:p>
    <w:p w:rsidR="00942AD2" w:rsidRPr="000C67C6" w:rsidRDefault="00942AD2">
      <w:pPr>
        <w:rPr>
          <w:sz w:val="20"/>
          <w:szCs w:val="20"/>
        </w:rPr>
      </w:pPr>
      <w:bookmarkStart w:id="1" w:name="_GoBack"/>
      <w:bookmarkEnd w:id="1"/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1E" w:rsidRDefault="0089511E" w:rsidP="00254330">
      <w:pPr>
        <w:spacing w:after="0" w:line="240" w:lineRule="auto"/>
      </w:pPr>
      <w:r>
        <w:separator/>
      </w:r>
    </w:p>
  </w:endnote>
  <w:endnote w:type="continuationSeparator" w:id="0">
    <w:p w:rsidR="0089511E" w:rsidRDefault="0089511E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B6BB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1E" w:rsidRDefault="0089511E" w:rsidP="00254330">
      <w:pPr>
        <w:spacing w:after="0" w:line="240" w:lineRule="auto"/>
      </w:pPr>
      <w:r>
        <w:separator/>
      </w:r>
    </w:p>
  </w:footnote>
  <w:footnote w:type="continuationSeparator" w:id="0">
    <w:p w:rsidR="0089511E" w:rsidRDefault="0089511E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1CC5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B6BBF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84D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511E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69AE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61B6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C557-E09B-417C-A4D5-37A4CA9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10367</Words>
  <Characters>62204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Dell</cp:lastModifiedBy>
  <cp:revision>5</cp:revision>
  <dcterms:created xsi:type="dcterms:W3CDTF">2024-08-27T12:03:00Z</dcterms:created>
  <dcterms:modified xsi:type="dcterms:W3CDTF">2024-09-04T18:01:00Z</dcterms:modified>
</cp:coreProperties>
</file>