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92A79" w14:textId="77777777" w:rsidR="000156E5" w:rsidRDefault="00F01272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WYMAGANIA EDUKACYJNE I KRYTERIA OCENIANIA  </w:t>
      </w:r>
    </w:p>
    <w:p w14:paraId="47592A7A" w14:textId="77777777" w:rsidR="000156E5" w:rsidRDefault="00F01272">
      <w:pPr>
        <w:spacing w:after="62" w:line="259" w:lineRule="auto"/>
        <w:ind w:right="331"/>
        <w:jc w:val="center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  PLASTYKI </w:t>
      </w:r>
    </w:p>
    <w:p w14:paraId="47592A7C" w14:textId="4CE7C563" w:rsidR="000156E5" w:rsidRDefault="00F01272" w:rsidP="00F01272">
      <w:pPr>
        <w:spacing w:after="62" w:line="259" w:lineRule="auto"/>
        <w:ind w:right="331"/>
        <w:jc w:val="center"/>
        <w:rPr>
          <w:rFonts w:ascii="Times New Roman" w:eastAsia="Cambria" w:hAnsi="Times New Roman" w:cs="Cambria"/>
          <w:b/>
          <w:bCs/>
        </w:rPr>
      </w:pPr>
      <w:r>
        <w:rPr>
          <w:rFonts w:ascii="Times New Roman" w:eastAsia="Cambria" w:hAnsi="Times New Roman" w:cs="Cambria"/>
          <w:b/>
          <w:bCs/>
        </w:rPr>
        <w:t>KLASA 5</w:t>
      </w:r>
    </w:p>
    <w:p w14:paraId="095FB35B" w14:textId="77777777" w:rsidR="00F01272" w:rsidRDefault="00F01272" w:rsidP="00F01272">
      <w:pPr>
        <w:spacing w:after="62" w:line="259" w:lineRule="auto"/>
        <w:ind w:right="331"/>
        <w:jc w:val="center"/>
        <w:rPr>
          <w:rFonts w:ascii="Times New Roman" w:hAnsi="Times New Roman"/>
        </w:rPr>
      </w:pPr>
    </w:p>
    <w:p w14:paraId="47592A7D" w14:textId="77777777" w:rsidR="000156E5" w:rsidRDefault="00F01272">
      <w:pPr>
        <w:spacing w:line="247" w:lineRule="auto"/>
        <w:ind w:right="329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Przedmiotowy system oceniania ma na celu wspieranie rozwoju intelektualnego                                     i osobowościowego ucznia. Wymagania edukacyjne formułowane są w oparciu  o podstawę programową oraz Program nauczania plastyki w klasach 4-7 szkoły podstawowej "Do dzieła" .</w:t>
      </w:r>
      <w:r>
        <w:rPr>
          <w:rFonts w:ascii="Times New Roman" w:eastAsia="Arial" w:hAnsi="Times New Roman" w:cs="Arial"/>
        </w:rPr>
        <w:t xml:space="preserve"> </w:t>
      </w:r>
    </w:p>
    <w:p w14:paraId="47592A7E" w14:textId="7E1DB663" w:rsidR="000156E5" w:rsidRDefault="00F01272">
      <w:pPr>
        <w:spacing w:after="156" w:line="259" w:lineRule="auto"/>
        <w:ind w:left="1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 Podręczniki dla klas IV-VII do plastyki  „Do dzieła!” Jadwiga Lukas, Krystyna </w:t>
      </w:r>
      <w:proofErr w:type="spellStart"/>
      <w:r>
        <w:rPr>
          <w:rFonts w:ascii="Times New Roman" w:eastAsia="Cambria" w:hAnsi="Times New Roman" w:cs="Cambria"/>
        </w:rPr>
        <w:t>Onak</w:t>
      </w:r>
      <w:proofErr w:type="spellEnd"/>
      <w:r>
        <w:rPr>
          <w:rFonts w:ascii="Times New Roman" w:eastAsia="Cambria" w:hAnsi="Times New Roman" w:cs="Cambria"/>
        </w:rPr>
        <w:t xml:space="preserve">,  M. </w:t>
      </w:r>
      <w:proofErr w:type="spellStart"/>
      <w:r>
        <w:rPr>
          <w:rFonts w:ascii="Times New Roman" w:eastAsia="Cambria" w:hAnsi="Times New Roman" w:cs="Cambria"/>
        </w:rPr>
        <w:t>Ipczyńska</w:t>
      </w:r>
      <w:proofErr w:type="spellEnd"/>
      <w:r>
        <w:rPr>
          <w:rFonts w:ascii="Times New Roman" w:eastAsia="Cambria" w:hAnsi="Times New Roman" w:cs="Cambria"/>
        </w:rPr>
        <w:t xml:space="preserve">, </w:t>
      </w:r>
      <w:proofErr w:type="spellStart"/>
      <w:r>
        <w:rPr>
          <w:rFonts w:ascii="Times New Roman" w:eastAsia="Cambria" w:hAnsi="Times New Roman" w:cs="Cambria"/>
        </w:rPr>
        <w:t>N.Mrozkowiak</w:t>
      </w:r>
      <w:proofErr w:type="spellEnd"/>
      <w:r w:rsidR="00640C7F">
        <w:rPr>
          <w:rFonts w:ascii="Times New Roman" w:eastAsia="Cambria" w:hAnsi="Times New Roman" w:cs="Cambria"/>
        </w:rPr>
        <w:t>,</w:t>
      </w:r>
      <w:r>
        <w:rPr>
          <w:rFonts w:ascii="Times New Roman" w:eastAsia="Cambria" w:hAnsi="Times New Roman" w:cs="Cambria"/>
        </w:rPr>
        <w:t xml:space="preserve">  wyd. Nowa Era   </w:t>
      </w:r>
    </w:p>
    <w:p w14:paraId="47592A7F" w14:textId="77777777" w:rsidR="000156E5" w:rsidRDefault="00F01272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Kryteria ocen z plastyki. </w:t>
      </w:r>
    </w:p>
    <w:p w14:paraId="47592A80" w14:textId="77777777" w:rsidR="000156E5" w:rsidRDefault="00F01272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Nauczyciel, dokonując oceny, zwraca uwagę przede wszystkim na: </w:t>
      </w:r>
    </w:p>
    <w:p w14:paraId="47592A81" w14:textId="77777777" w:rsidR="000156E5" w:rsidRDefault="00F01272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uzdolnień i predyspozycji plastycznych ucznia, </w:t>
      </w:r>
    </w:p>
    <w:p w14:paraId="47592A82" w14:textId="77777777" w:rsidR="000156E5" w:rsidRDefault="00F01272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indywidualny wkład pracy potrzebny do realizacji określonych zadań plastycznych, </w:t>
      </w:r>
    </w:p>
    <w:p w14:paraId="47592A83" w14:textId="77777777" w:rsidR="000156E5" w:rsidRDefault="00F01272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zaangażowanie w działania plastyczne i jego aktywny w nich udział, </w:t>
      </w:r>
    </w:p>
    <w:p w14:paraId="47592A84" w14:textId="77777777" w:rsidR="000156E5" w:rsidRDefault="00F01272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poziom wiedzy i umiejętności w zakresie różnych form aktywności plastycznej                                       i wiadomości z teorii plastyki,  </w:t>
      </w:r>
    </w:p>
    <w:p w14:paraId="47592A85" w14:textId="77777777" w:rsidR="000156E5" w:rsidRDefault="00F01272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podejmowanie przez ucznia dodatkowych zadań plastycznych, włączanie się w życie artystyczne szkoły i środowiska, </w:t>
      </w:r>
    </w:p>
    <w:p w14:paraId="47592A86" w14:textId="77777777" w:rsidR="000156E5" w:rsidRDefault="00F01272">
      <w:pPr>
        <w:numPr>
          <w:ilvl w:val="2"/>
          <w:numId w:val="2"/>
        </w:numPr>
        <w:spacing w:after="25"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przygotowanie do zajęć. </w:t>
      </w:r>
    </w:p>
    <w:p w14:paraId="47592A87" w14:textId="77777777" w:rsidR="000156E5" w:rsidRDefault="00F01272">
      <w:pPr>
        <w:numPr>
          <w:ilvl w:val="2"/>
          <w:numId w:val="2"/>
        </w:numPr>
        <w:spacing w:line="259" w:lineRule="auto"/>
        <w:ind w:right="189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wysiłek wkładany przez ucznia i wywiązywanie się z obowiązków wynikających ze specyfiki przedmiotu. </w:t>
      </w:r>
    </w:p>
    <w:p w14:paraId="47592A88" w14:textId="77777777" w:rsidR="000156E5" w:rsidRDefault="00F01272">
      <w:pPr>
        <w:spacing w:after="24" w:line="259" w:lineRule="auto"/>
        <w:ind w:left="72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 </w:t>
      </w:r>
    </w:p>
    <w:p w14:paraId="47592A89" w14:textId="77777777" w:rsidR="000156E5" w:rsidRDefault="00F01272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  <w:b/>
        </w:rPr>
        <w:t xml:space="preserve">Zasady oceniania uczniów.  </w:t>
      </w:r>
    </w:p>
    <w:p w14:paraId="47592A8A" w14:textId="77777777" w:rsidR="000156E5" w:rsidRDefault="00F01272">
      <w:pPr>
        <w:spacing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plastyczne oceniane są wg ustalonych zasad podanych przed rozpoczęciem pracy. </w:t>
      </w:r>
    </w:p>
    <w:p w14:paraId="47592A8B" w14:textId="77777777" w:rsidR="000156E5" w:rsidRDefault="00F01272">
      <w:pPr>
        <w:spacing w:after="25" w:line="259" w:lineRule="auto"/>
        <w:ind w:left="730" w:right="189" w:hanging="1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 xml:space="preserve">Prace ucznia oceniane są za:  </w:t>
      </w:r>
    </w:p>
    <w:p w14:paraId="47592A8C" w14:textId="77777777" w:rsidR="000156E5" w:rsidRDefault="00F01272">
      <w:pPr>
        <w:numPr>
          <w:ilvl w:val="2"/>
          <w:numId w:val="3"/>
        </w:numPr>
        <w:spacing w:after="25" w:line="259" w:lineRule="auto"/>
        <w:ind w:right="295" w:hanging="360"/>
        <w:rPr>
          <w:rFonts w:ascii="Times New Roman" w:hAnsi="Times New Roman"/>
        </w:rPr>
      </w:pPr>
      <w:r>
        <w:rPr>
          <w:rFonts w:ascii="Times New Roman" w:eastAsia="Cambria" w:hAnsi="Times New Roman" w:cs="Cambria"/>
        </w:rPr>
        <w:t>zgodność z tematem, bogactwo treści, wartości formalne (kompozycja, kolorystyka, zastosowane materiały oraz technika</w:t>
      </w:r>
      <w:r>
        <w:rPr>
          <w:rFonts w:ascii="Times New Roman" w:eastAsia="Calibri" w:hAnsi="Times New Roman" w:cs="Calibri"/>
        </w:rPr>
        <w:t xml:space="preserve">), </w:t>
      </w:r>
    </w:p>
    <w:p w14:paraId="47592A8D" w14:textId="77777777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trafność obserwacji, pomysłowość (oryginalność), </w:t>
      </w:r>
    </w:p>
    <w:p w14:paraId="47592A8E" w14:textId="77777777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ocenie podlegają tylko prace wykonane samodzielnie przez ucznia,  </w:t>
      </w:r>
    </w:p>
    <w:p w14:paraId="47592A8F" w14:textId="77777777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ocenę niedostateczną otrzymuje uczeń wtedy, gdy nie odda pracy do oceny, </w:t>
      </w:r>
    </w:p>
    <w:p w14:paraId="47592A90" w14:textId="77777777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każda aktywność twórcza jest oceniana pozytywnie,  </w:t>
      </w:r>
    </w:p>
    <w:p w14:paraId="47592A91" w14:textId="77777777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jeżeli uczeń nie skończył pracy na zajęciach to może to zrobić w domu i oddać pracę w wciągu  tygodnia od zakończenia tej pracy na lekcji, </w:t>
      </w:r>
    </w:p>
    <w:p w14:paraId="47592A92" w14:textId="77777777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uczeń  może  poprawić oceny niedostateczne za nieterminowe oddanie pracy, </w:t>
      </w:r>
    </w:p>
    <w:p w14:paraId="47592A93" w14:textId="6DD524E8" w:rsidR="000156E5" w:rsidRDefault="00F01272">
      <w:pPr>
        <w:numPr>
          <w:ilvl w:val="2"/>
          <w:numId w:val="3"/>
        </w:numPr>
        <w:spacing w:after="32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raz w semestrze można być nieprzygotowanym do zajęć, zgłoszenie może dotyczyć braku materiałów plastycznych</w:t>
      </w:r>
      <w:r w:rsidR="00D61514">
        <w:rPr>
          <w:rFonts w:ascii="Times New Roman" w:eastAsia="Calibri" w:hAnsi="Times New Roman" w:cs="Calibri"/>
        </w:rPr>
        <w:t xml:space="preserve"> lub </w:t>
      </w:r>
      <w:r>
        <w:rPr>
          <w:rFonts w:ascii="Times New Roman" w:eastAsia="Calibri" w:hAnsi="Times New Roman" w:cs="Calibri"/>
        </w:rPr>
        <w:t xml:space="preserve"> zaległej pracy, </w:t>
      </w:r>
    </w:p>
    <w:p w14:paraId="315CBE85" w14:textId="77777777" w:rsidR="006F6524" w:rsidRPr="006F6524" w:rsidRDefault="00F01272" w:rsidP="00D61514">
      <w:pPr>
        <w:numPr>
          <w:ilvl w:val="2"/>
          <w:numId w:val="3"/>
        </w:numPr>
        <w:spacing w:after="160" w:line="252" w:lineRule="auto"/>
        <w:ind w:right="295" w:hanging="36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>jeżeli z braku materiałów uczeń nie wykonuje pracy na lekcji, nauczyciel wyznacza mu zadanie podobne, a w domu musi wykonać pracę wykonywaną na zajęciach planowych</w:t>
      </w:r>
      <w:r w:rsidR="006F6524">
        <w:rPr>
          <w:rFonts w:ascii="Times New Roman" w:eastAsia="Calibri" w:hAnsi="Times New Roman" w:cs="Calibri"/>
        </w:rPr>
        <w:t>,</w:t>
      </w:r>
    </w:p>
    <w:p w14:paraId="53F8DF5F" w14:textId="4E5BCD1E" w:rsidR="00D61514" w:rsidRPr="00206917" w:rsidRDefault="00D922AC" w:rsidP="00D61514">
      <w:pPr>
        <w:numPr>
          <w:ilvl w:val="2"/>
          <w:numId w:val="3"/>
        </w:numPr>
        <w:spacing w:after="160" w:line="252" w:lineRule="auto"/>
        <w:ind w:right="295" w:hanging="360"/>
        <w:rPr>
          <w:rFonts w:ascii="Times New Roman" w:hAnsi="Times New Roman" w:cs="Times New Roman"/>
          <w:color w:val="000000" w:themeColor="text1"/>
        </w:rPr>
      </w:pPr>
      <w:r w:rsidRPr="00206917">
        <w:rPr>
          <w:rFonts w:ascii="Times New Roman" w:hAnsi="Times New Roman" w:cs="Times New Roman"/>
          <w:color w:val="000000" w:themeColor="text1"/>
        </w:rPr>
        <w:t>u</w:t>
      </w:r>
      <w:r w:rsidR="00D61514" w:rsidRPr="00206917">
        <w:rPr>
          <w:rFonts w:ascii="Times New Roman" w:hAnsi="Times New Roman" w:cs="Times New Roman"/>
          <w:color w:val="000000" w:themeColor="text1"/>
        </w:rPr>
        <w:t xml:space="preserve">czeń aby otrzymać roczną ocenę klasyfikacyjną wyższą od przewidywanej musi spełniać warunki określone w Statucie Szkoły. </w:t>
      </w:r>
      <w:r w:rsidRPr="00206917">
        <w:rPr>
          <w:rFonts w:ascii="Times New Roman" w:hAnsi="Times New Roman" w:cs="Times New Roman"/>
          <w:color w:val="000000" w:themeColor="text1"/>
        </w:rPr>
        <w:t>A</w:t>
      </w:r>
      <w:r w:rsidR="00D61514" w:rsidRPr="00206917">
        <w:rPr>
          <w:rFonts w:ascii="Times New Roman" w:hAnsi="Times New Roman" w:cs="Times New Roman"/>
          <w:color w:val="000000" w:themeColor="text1"/>
        </w:rPr>
        <w:t xml:space="preserve">by uzyskać ocenę wyższą niż przewidywana, uczeń będzie musiał poprawić </w:t>
      </w:r>
      <w:r w:rsidRPr="00206917">
        <w:rPr>
          <w:rFonts w:ascii="Times New Roman" w:hAnsi="Times New Roman" w:cs="Times New Roman"/>
          <w:color w:val="000000" w:themeColor="text1"/>
        </w:rPr>
        <w:t xml:space="preserve">prace </w:t>
      </w:r>
      <w:r w:rsidR="00D61514" w:rsidRPr="00206917">
        <w:rPr>
          <w:rFonts w:ascii="Times New Roman" w:hAnsi="Times New Roman" w:cs="Times New Roman"/>
          <w:color w:val="000000" w:themeColor="text1"/>
        </w:rPr>
        <w:t xml:space="preserve">z tego zakresu, z którego otrzymał oceny niższe od oceny o jaką się ubiega. </w:t>
      </w:r>
    </w:p>
    <w:p w14:paraId="47592A98" w14:textId="7E448209" w:rsidR="000156E5" w:rsidRPr="00206917" w:rsidRDefault="000156E5">
      <w:pPr>
        <w:spacing w:after="160" w:line="259" w:lineRule="auto"/>
        <w:rPr>
          <w:rFonts w:ascii="Times New Roman" w:hAnsi="Times New Roman"/>
        </w:rPr>
      </w:pPr>
    </w:p>
    <w:p w14:paraId="47592A99" w14:textId="77777777" w:rsidR="000156E5" w:rsidRDefault="00F01272">
      <w:pPr>
        <w:numPr>
          <w:ilvl w:val="0"/>
          <w:numId w:val="1"/>
        </w:numPr>
        <w:spacing w:line="259" w:lineRule="auto"/>
        <w:ind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lastRenderedPageBreak/>
        <w:t xml:space="preserve">Szczegółowe kryteria ocen:  </w:t>
      </w:r>
    </w:p>
    <w:p w14:paraId="47592A9A" w14:textId="77777777" w:rsidR="000156E5" w:rsidRDefault="00F01272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a/ocena celująca (6) </w:t>
      </w:r>
    </w:p>
    <w:p w14:paraId="47592A9B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zajęciach, kompletne, estetyczne i zgodne z tematem i określonymi zagadnieniami plastycznymi wykonanie ćwiczeń i prac plastycznych, </w:t>
      </w:r>
    </w:p>
    <w:p w14:paraId="47592A9C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</w:t>
      </w:r>
    </w:p>
    <w:p w14:paraId="47592A9D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poszerzanie wiedzy, uczestnictwo w konkursach plastycznych na terenie szkoły i poza nią, </w:t>
      </w:r>
    </w:p>
    <w:p w14:paraId="47592A9E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wykorzystywanie wiadomości i umiejętności  w zadaniach nietypowych,  </w:t>
      </w:r>
    </w:p>
    <w:p w14:paraId="47592A9F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 (dekoracji, plakatów), </w:t>
      </w:r>
    </w:p>
    <w:p w14:paraId="47592AA0" w14:textId="77777777" w:rsidR="000156E5" w:rsidRDefault="00F01272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przygotowanie do zajęć;  </w:t>
      </w:r>
    </w:p>
    <w:p w14:paraId="47592AA1" w14:textId="77777777" w:rsidR="000156E5" w:rsidRDefault="00F01272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47592AA2" w14:textId="77777777" w:rsidR="000156E5" w:rsidRDefault="00F01272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b/ ocena bardzo dobra (5)  </w:t>
      </w:r>
    </w:p>
    <w:p w14:paraId="47592AA3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czynny udział w zajęciach lekcyjnych, estetyczne wykonywanie prac, ćwiczeń  w określonym czasie lub przed jego upływem,  </w:t>
      </w:r>
    </w:p>
    <w:p w14:paraId="47592AA4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pełne przyswojenie wiadomości objętych programem nauczania,  </w:t>
      </w:r>
    </w:p>
    <w:p w14:paraId="47592AA5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prawidłowa organizacja pracy,  </w:t>
      </w:r>
    </w:p>
    <w:p w14:paraId="47592AA6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wykorzystywanie wiadomości i umiejętności w zadaniach nietypowych,  </w:t>
      </w:r>
    </w:p>
    <w:p w14:paraId="47592AA7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wykonywanie prac dodatkowych,  </w:t>
      </w:r>
    </w:p>
    <w:p w14:paraId="47592AA8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wszystkie prace oddane w terminie,  </w:t>
      </w:r>
    </w:p>
    <w:p w14:paraId="47592AA9" w14:textId="77777777" w:rsidR="000156E5" w:rsidRDefault="00F01272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przygotowywanie się do zajęć;  </w:t>
      </w:r>
    </w:p>
    <w:p w14:paraId="47592AAA" w14:textId="77777777" w:rsidR="000156E5" w:rsidRDefault="00F01272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47592AAB" w14:textId="77777777" w:rsidR="000156E5" w:rsidRDefault="00F01272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c/ ocena dobra (4) </w:t>
      </w:r>
    </w:p>
    <w:p w14:paraId="47592AAC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gotowość i zabieranie głosu w dyskusji na tematy zaproponowane przez nauczyciela lub wykonywanych przez siebie i kolegów dziełach plastycznych, </w:t>
      </w:r>
    </w:p>
    <w:p w14:paraId="47592AAD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przyswojenie wiedzy i umiejętności i wykorzystanie jej w sytuacjach typowych, wykonywanie ćwiczeń objętych programem nauczania,  </w:t>
      </w:r>
    </w:p>
    <w:p w14:paraId="47592AAE" w14:textId="77777777" w:rsidR="000156E5" w:rsidRDefault="00F01272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staranne i estetyczne;  </w:t>
      </w:r>
    </w:p>
    <w:p w14:paraId="47592AAF" w14:textId="77777777" w:rsidR="000156E5" w:rsidRDefault="00F01272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47592AB0" w14:textId="77777777" w:rsidR="000156E5" w:rsidRDefault="00F01272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d/ ocena dostateczna (3)  </w:t>
      </w:r>
    </w:p>
    <w:p w14:paraId="47592AB1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podstawowe opanowanie materiału zawartego w programie nauczania,  </w:t>
      </w:r>
    </w:p>
    <w:p w14:paraId="47592AB2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trudności z zastosowaniem, wykorzystaniem wiedzy teoretycznej podczas wykonywania pracy, </w:t>
      </w:r>
    </w:p>
    <w:p w14:paraId="47592AB3" w14:textId="77777777" w:rsidR="000156E5" w:rsidRDefault="00F01272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prace niestaranne i nieestetyczne; </w:t>
      </w:r>
    </w:p>
    <w:p w14:paraId="47592AB4" w14:textId="77777777" w:rsidR="000156E5" w:rsidRDefault="00F01272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 </w:t>
      </w:r>
    </w:p>
    <w:p w14:paraId="47592AB5" w14:textId="77777777" w:rsidR="000156E5" w:rsidRDefault="00F01272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e/ ocena dopuszczająca (2)  </w:t>
      </w:r>
    </w:p>
    <w:p w14:paraId="47592AB6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spore luki w wiadomościach (minimum programowe), </w:t>
      </w:r>
    </w:p>
    <w:p w14:paraId="47592AB7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brak zaangażowania w pracę na lekcjach,  </w:t>
      </w:r>
    </w:p>
    <w:p w14:paraId="47592AB8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zgodne z tematem, ale nieestetyczne wykonywanie prac, </w:t>
      </w:r>
    </w:p>
    <w:p w14:paraId="47592AB9" w14:textId="77777777" w:rsidR="000156E5" w:rsidRDefault="00F01272">
      <w:pPr>
        <w:numPr>
          <w:ilvl w:val="1"/>
          <w:numId w:val="1"/>
        </w:numPr>
        <w:spacing w:after="1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częste nieprzygotowanie do lekcji; </w:t>
      </w:r>
    </w:p>
    <w:p w14:paraId="47592ABA" w14:textId="77777777" w:rsidR="000156E5" w:rsidRDefault="00F01272">
      <w:pPr>
        <w:spacing w:line="259" w:lineRule="auto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</w:t>
      </w:r>
    </w:p>
    <w:p w14:paraId="47592ABB" w14:textId="77777777" w:rsidR="000156E5" w:rsidRDefault="00F01272">
      <w:pPr>
        <w:spacing w:after="33" w:line="259" w:lineRule="auto"/>
        <w:ind w:left="715" w:hanging="1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  <w:b/>
        </w:rPr>
        <w:t xml:space="preserve"> f/ ocena niedostateczna (1) </w:t>
      </w:r>
    </w:p>
    <w:p w14:paraId="47592ABC" w14:textId="77777777" w:rsidR="000156E5" w:rsidRDefault="00F01272">
      <w:pPr>
        <w:numPr>
          <w:ilvl w:val="1"/>
          <w:numId w:val="1"/>
        </w:numPr>
        <w:spacing w:after="32" w:line="252" w:lineRule="auto"/>
        <w:ind w:right="295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 w:cs="Calibri"/>
        </w:rPr>
        <w:t xml:space="preserve">nieopanowane wiadomości i umiejętności zawarte w programie nauczania, </w:t>
      </w:r>
    </w:p>
    <w:p w14:paraId="47592ABD" w14:textId="77777777" w:rsidR="000156E5" w:rsidRDefault="00F01272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brak zaangażowania i chęci do pracy, notoryczne nieprzygotowanie do zajęć, </w:t>
      </w:r>
    </w:p>
    <w:p w14:paraId="47592ABE" w14:textId="77777777" w:rsidR="000156E5" w:rsidRDefault="00F01272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  <w:r>
        <w:rPr>
          <w:rFonts w:ascii="Times New Roman" w:eastAsia="Wingdings" w:hAnsi="Times New Roman" w:cs="Wingdings"/>
        </w:rPr>
        <w:t></w:t>
      </w:r>
      <w:r>
        <w:rPr>
          <w:rFonts w:ascii="Times New Roman" w:eastAsia="Arial" w:hAnsi="Times New Roman" w:cs="Arial"/>
        </w:rPr>
        <w:t xml:space="preserve">  </w:t>
      </w:r>
      <w:r>
        <w:rPr>
          <w:rFonts w:ascii="Times New Roman" w:eastAsia="Calibri" w:hAnsi="Times New Roman" w:cs="Calibri"/>
        </w:rPr>
        <w:t xml:space="preserve">nieterminowe oddanie prac do oceny. </w:t>
      </w:r>
    </w:p>
    <w:p w14:paraId="47592ABF" w14:textId="77777777" w:rsidR="000156E5" w:rsidRDefault="000156E5">
      <w:pPr>
        <w:spacing w:after="32" w:line="252" w:lineRule="auto"/>
        <w:ind w:left="1425" w:right="295"/>
        <w:rPr>
          <w:rFonts w:ascii="Times New Roman" w:hAnsi="Times New Roman"/>
          <w:sz w:val="22"/>
          <w:szCs w:val="22"/>
        </w:rPr>
      </w:pPr>
    </w:p>
    <w:p w14:paraId="47592AC0" w14:textId="77777777" w:rsidR="000156E5" w:rsidRDefault="00F01272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WYMAGANIA EDUKACYJNE </w:t>
      </w:r>
    </w:p>
    <w:p w14:paraId="47592AC1" w14:textId="77777777" w:rsidR="000156E5" w:rsidRDefault="00F01272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47592AC2" w14:textId="77777777" w:rsidR="000156E5" w:rsidRDefault="00F01272">
      <w:pPr>
        <w:spacing w:after="2"/>
        <w:ind w:left="715" w:right="318" w:hanging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klasie V uczniowie poznają kolejne elementy języka sztuki, takie jak: kontrasty barwne, kompozycja plastyczna i jej rodzaje, akcent kolorystyczny, faktura, perspektywa. Uczą się rozróżniać tradycyjne dziedziny sztuk plastycznych: malarstwo, rysunek, rzeźbę, architekturę  i grafikę. Mają sposobność przyjrzenia się rozwojowi także tych dziedzin na przestrzeni dziejów. Podczas lekcji podejmują działania plastyczne związane z poznawaniem poszczególnych zagadnień. Ćwiczenia praktyczne wykonywać będą przy użyciu różnorodnych technik plastycznych, zarówno rysunkowych, jak i malarskich. Uczniowie na lekcjach plastyki będą rozwijać wyobraźnię i kreatywność artystyczną. </w:t>
      </w:r>
    </w:p>
    <w:p w14:paraId="47592AC3" w14:textId="77777777" w:rsidR="000156E5" w:rsidRDefault="00F01272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14:paraId="47592AC4" w14:textId="77777777" w:rsidR="000156E5" w:rsidRDefault="00F01272">
      <w:pPr>
        <w:spacing w:after="4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Wymagania edukacyjne podstawowe i ponadpodstawowe: </w:t>
      </w:r>
    </w:p>
    <w:p w14:paraId="47592AC5" w14:textId="77777777" w:rsidR="000156E5" w:rsidRDefault="00F01272">
      <w:pPr>
        <w:spacing w:after="36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a/ wymagania podstawowe:</w:t>
      </w:r>
      <w:r>
        <w:rPr>
          <w:rFonts w:ascii="Times New Roman" w:hAnsi="Times New Roman"/>
          <w:b/>
        </w:rPr>
        <w:t xml:space="preserve">  </w:t>
      </w:r>
    </w:p>
    <w:p w14:paraId="47592AC6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jest </w:t>
      </w:r>
      <w:r>
        <w:rPr>
          <w:rFonts w:ascii="Times New Roman" w:hAnsi="Times New Roman"/>
          <w:b/>
        </w:rPr>
        <w:t>faktura</w:t>
      </w:r>
      <w:r>
        <w:rPr>
          <w:rFonts w:ascii="Times New Roman" w:hAnsi="Times New Roman"/>
        </w:rPr>
        <w:t xml:space="preserve"> ,  </w:t>
      </w:r>
    </w:p>
    <w:p w14:paraId="47592AC7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rodzaj faktury w dziełach różnych dyscyplin plastycznych ,  </w:t>
      </w:r>
    </w:p>
    <w:p w14:paraId="47592AC8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ukazuje fakturę w pracach plastycznych,  </w:t>
      </w:r>
    </w:p>
    <w:p w14:paraId="47592AC9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jest </w:t>
      </w:r>
      <w:r>
        <w:rPr>
          <w:rFonts w:ascii="Times New Roman" w:hAnsi="Times New Roman"/>
          <w:b/>
        </w:rPr>
        <w:t>forma</w:t>
      </w:r>
      <w:r>
        <w:rPr>
          <w:rFonts w:ascii="Times New Roman" w:hAnsi="Times New Roman"/>
        </w:rPr>
        <w:t xml:space="preserve">,  </w:t>
      </w:r>
    </w:p>
    <w:p w14:paraId="47592ACA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odróżnia formę płaską od formy przestrzennej,  </w:t>
      </w:r>
    </w:p>
    <w:p w14:paraId="47592ACB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rodzaje form w otaczającym świecie, </w:t>
      </w:r>
    </w:p>
    <w:p w14:paraId="47592ACC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różnorodne formy w działaniach plastycznych, </w:t>
      </w:r>
    </w:p>
    <w:p w14:paraId="47592ACD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co to jest </w:t>
      </w:r>
      <w:r>
        <w:rPr>
          <w:rFonts w:ascii="Times New Roman" w:hAnsi="Times New Roman"/>
          <w:b/>
        </w:rPr>
        <w:t>kompozycja plastyczna</w:t>
      </w:r>
      <w:r>
        <w:rPr>
          <w:rFonts w:ascii="Times New Roman" w:hAnsi="Times New Roman"/>
        </w:rPr>
        <w:t xml:space="preserve">,  </w:t>
      </w:r>
    </w:p>
    <w:p w14:paraId="47592ACE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zasady harmonijnej kompozycji,   </w:t>
      </w:r>
    </w:p>
    <w:p w14:paraId="47592ACF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rodzaje kompozycji,  </w:t>
      </w:r>
    </w:p>
    <w:p w14:paraId="47592AD0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rodzaj kompozycji w wybranych reprodukcjach,   </w:t>
      </w:r>
    </w:p>
    <w:p w14:paraId="47592AD1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pracę z wykorzystaniem wybranej kompozycji, </w:t>
      </w:r>
    </w:p>
    <w:p w14:paraId="47592AD2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tłumaczy, co to jest </w:t>
      </w:r>
      <w:r>
        <w:rPr>
          <w:rFonts w:ascii="Times New Roman" w:hAnsi="Times New Roman"/>
          <w:b/>
        </w:rPr>
        <w:t>perspektywa</w:t>
      </w:r>
      <w:r>
        <w:rPr>
          <w:rFonts w:ascii="Times New Roman" w:hAnsi="Times New Roman"/>
        </w:rPr>
        <w:t xml:space="preserve">,   </w:t>
      </w:r>
    </w:p>
    <w:p w14:paraId="47592AD3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rodzaje perspektywy,   </w:t>
      </w:r>
    </w:p>
    <w:p w14:paraId="47592AD4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rolę perspektywy w dziele sztuki, </w:t>
      </w:r>
    </w:p>
    <w:p w14:paraId="47592AD5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formy twórczości,  </w:t>
      </w:r>
    </w:p>
    <w:p w14:paraId="47592AD6" w14:textId="77777777" w:rsidR="000156E5" w:rsidRDefault="00F01272">
      <w:pPr>
        <w:numPr>
          <w:ilvl w:val="0"/>
          <w:numId w:val="4"/>
        </w:numPr>
        <w:spacing w:after="7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najbardziej </w:t>
      </w:r>
      <w:r>
        <w:rPr>
          <w:rFonts w:ascii="Times New Roman" w:hAnsi="Times New Roman"/>
          <w:b/>
        </w:rPr>
        <w:t>znane dzieła sztuki</w:t>
      </w:r>
      <w:r>
        <w:rPr>
          <w:rFonts w:ascii="Times New Roman" w:hAnsi="Times New Roman"/>
        </w:rPr>
        <w:t xml:space="preserve">, </w:t>
      </w:r>
    </w:p>
    <w:p w14:paraId="47592AD7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charakterystyczne </w:t>
      </w:r>
      <w:r>
        <w:rPr>
          <w:rFonts w:ascii="Times New Roman" w:hAnsi="Times New Roman"/>
          <w:b/>
        </w:rPr>
        <w:t>cechy rysunku</w:t>
      </w:r>
      <w:r>
        <w:rPr>
          <w:rFonts w:ascii="Times New Roman" w:hAnsi="Times New Roman"/>
        </w:rPr>
        <w:t xml:space="preserve"> jako dyscypliny plastycznej,  </w:t>
      </w:r>
    </w:p>
    <w:p w14:paraId="47592AD8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funkcje szkicu,   </w:t>
      </w:r>
    </w:p>
    <w:p w14:paraId="47592AD9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używa właściwych przyborów rysunkowych do zadanego tematu, </w:t>
      </w:r>
    </w:p>
    <w:p w14:paraId="47592ADA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organizuje warsztat pracy przy wykonywaniu prac rysunkowych,   </w:t>
      </w:r>
    </w:p>
    <w:p w14:paraId="47592ADB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szkicem jako wstępnym etapem do właściwej pracy, </w:t>
      </w:r>
    </w:p>
    <w:p w14:paraId="47592ADC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charakteryzuje </w:t>
      </w:r>
      <w:r>
        <w:rPr>
          <w:rFonts w:ascii="Times New Roman" w:hAnsi="Times New Roman"/>
          <w:b/>
        </w:rPr>
        <w:t>malarstwo</w:t>
      </w:r>
      <w:r>
        <w:rPr>
          <w:rFonts w:ascii="Times New Roman" w:hAnsi="Times New Roman"/>
        </w:rPr>
        <w:t xml:space="preserve"> jako dyscyplinę plastyczną,   </w:t>
      </w:r>
    </w:p>
    <w:p w14:paraId="47592ADD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wyjaśnia, czym się różni malarstwo realistyczne od malarstwa abstrakcyjnego,  </w:t>
      </w:r>
    </w:p>
    <w:p w14:paraId="47592ADE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używa właściwych przyborów malarskich do zadanego tematu,  </w:t>
      </w:r>
    </w:p>
    <w:p w14:paraId="47592ADF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na przykładach tematyczne rodzaje malarstwa,  </w:t>
      </w:r>
    </w:p>
    <w:p w14:paraId="47592AE0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organizuje warsztat pracy przy malowaniu prac,  maluje pracę na określony temat. </w:t>
      </w:r>
    </w:p>
    <w:p w14:paraId="47592AE1" w14:textId="77777777" w:rsidR="000156E5" w:rsidRDefault="000156E5">
      <w:pPr>
        <w:ind w:left="837" w:right="318" w:hanging="132"/>
        <w:rPr>
          <w:rFonts w:ascii="Times New Roman" w:hAnsi="Times New Roman"/>
        </w:rPr>
      </w:pPr>
    </w:p>
    <w:p w14:paraId="47592AE2" w14:textId="77777777" w:rsidR="000156E5" w:rsidRDefault="00F01272">
      <w:pPr>
        <w:spacing w:after="36" w:line="259" w:lineRule="auto"/>
        <w:ind w:left="715" w:hanging="10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 xml:space="preserve"> b/</w:t>
      </w:r>
      <w:r>
        <w:rPr>
          <w:rFonts w:ascii="Times New Roman" w:hAnsi="Times New Roman"/>
          <w:u w:val="single" w:color="000000"/>
        </w:rPr>
        <w:t xml:space="preserve"> </w:t>
      </w:r>
      <w:r>
        <w:rPr>
          <w:rFonts w:ascii="Times New Roman" w:hAnsi="Times New Roman"/>
          <w:b/>
          <w:u w:val="single" w:color="000000"/>
        </w:rPr>
        <w:t>wymagania ponadpodstawowe:</w:t>
      </w:r>
      <w:r>
        <w:rPr>
          <w:rFonts w:ascii="Times New Roman" w:hAnsi="Times New Roman"/>
        </w:rPr>
        <w:t xml:space="preserve">  </w:t>
      </w:r>
    </w:p>
    <w:p w14:paraId="47592AE3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funkcję faktury jako środka wyrazu plastycznego,  </w:t>
      </w:r>
    </w:p>
    <w:p w14:paraId="47592AE4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twórczo stosuje fakturę w działaniach plastycznych,   </w:t>
      </w:r>
    </w:p>
    <w:p w14:paraId="47592AE5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wyjaśnia funkcję formy w sztuce,   </w:t>
      </w:r>
    </w:p>
    <w:p w14:paraId="47592AE6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twórczo wykorzystuje formę jako środek wyrazu plastycznego, </w:t>
      </w:r>
    </w:p>
    <w:p w14:paraId="47592AE7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dobiera kompozycję do tematu pracy,  </w:t>
      </w:r>
    </w:p>
    <w:p w14:paraId="47592AE8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odpowiednimi środkami plastycznymi wyraża określoną kompozycję,  </w:t>
      </w:r>
    </w:p>
    <w:p w14:paraId="47592AE9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odróżnia dobrą kompozycję od złej,  </w:t>
      </w:r>
    </w:p>
    <w:p w14:paraId="47592AEA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omawia rolę kompozycji jako środka wyrazu plastycznego  </w:t>
      </w:r>
    </w:p>
    <w:p w14:paraId="47592AEB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przedstawia na płaszczyźnie trójwymiarowe przedmioty,   </w:t>
      </w:r>
    </w:p>
    <w:p w14:paraId="47592AEC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stosuje w działaniach plastycznych dany rodzaj perspektywy,   </w:t>
      </w:r>
    </w:p>
    <w:p w14:paraId="47592AED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określa rodzaj perspektywy w wybranych reprodukcjach,   </w:t>
      </w:r>
    </w:p>
    <w:p w14:paraId="47592AEE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świadomie posługuje się terminami: kustosz, eksponat, konserwator zabytków,   </w:t>
      </w:r>
    </w:p>
    <w:p w14:paraId="47592AEF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opisuje wybrane reprodukcje dzieł,   </w:t>
      </w:r>
    </w:p>
    <w:p w14:paraId="47592AF0" w14:textId="77777777" w:rsidR="000156E5" w:rsidRDefault="00F01272">
      <w:pPr>
        <w:numPr>
          <w:ilvl w:val="0"/>
          <w:numId w:val="4"/>
        </w:numPr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pozdaje nazwiska znanych twórców polskich i zagranicznych,   </w:t>
      </w:r>
    </w:p>
    <w:p w14:paraId="47592AF1" w14:textId="77777777" w:rsidR="000156E5" w:rsidRDefault="00F01272">
      <w:pPr>
        <w:numPr>
          <w:ilvl w:val="0"/>
          <w:numId w:val="4"/>
        </w:numPr>
        <w:spacing w:after="3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świadomie i ekspresyjnie posługuje się punktem, linią, konturem, plamą walorową, światłocieniem,   </w:t>
      </w:r>
    </w:p>
    <w:p w14:paraId="47592AF2" w14:textId="77777777" w:rsidR="000156E5" w:rsidRDefault="00F01272">
      <w:pPr>
        <w:numPr>
          <w:ilvl w:val="0"/>
          <w:numId w:val="4"/>
        </w:numPr>
        <w:spacing w:after="3"/>
        <w:ind w:right="318" w:hanging="13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świadomie i ekspresyjnie posługuje się określoną techniką plastyczną, kompozycją oraz zestawem barw.   </w:t>
      </w:r>
    </w:p>
    <w:p w14:paraId="47592AF3" w14:textId="77777777" w:rsidR="000156E5" w:rsidRDefault="00F01272">
      <w:pPr>
        <w:spacing w:line="259" w:lineRule="auto"/>
        <w:ind w:left="720"/>
        <w:rPr>
          <w:rFonts w:ascii="Times New Roman" w:hAnsi="Times New Roman"/>
        </w:rPr>
      </w:pPr>
      <w:r>
        <w:rPr>
          <w:rFonts w:ascii="Times New Roman" w:eastAsia="Calibri" w:hAnsi="Times New Roman" w:cs="Calibri"/>
        </w:rPr>
        <w:t xml:space="preserve"> </w:t>
      </w:r>
    </w:p>
    <w:sectPr w:rsidR="000156E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E7"/>
    <w:multiLevelType w:val="multilevel"/>
    <w:tmpl w:val="290AB4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336FD"/>
    <w:multiLevelType w:val="multilevel"/>
    <w:tmpl w:val="9A2050A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9AB14D5"/>
    <w:multiLevelType w:val="multilevel"/>
    <w:tmpl w:val="CF28CE12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2BE4016"/>
    <w:multiLevelType w:val="multilevel"/>
    <w:tmpl w:val="A74A470E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5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EB62ED3"/>
    <w:multiLevelType w:val="multilevel"/>
    <w:tmpl w:val="170C9B58"/>
    <w:lvl w:ilvl="0">
      <w:start w:val="1"/>
      <w:numFmt w:val="bullet"/>
      <w:lvlText w:val="•"/>
      <w:lvlJc w:val="left"/>
      <w:pPr>
        <w:tabs>
          <w:tab w:val="num" w:pos="0"/>
        </w:tabs>
        <w:ind w:left="83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9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1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5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16100">
    <w:abstractNumId w:val="3"/>
  </w:num>
  <w:num w:numId="2" w16cid:durableId="151723151">
    <w:abstractNumId w:val="2"/>
  </w:num>
  <w:num w:numId="3" w16cid:durableId="1631201335">
    <w:abstractNumId w:val="1"/>
  </w:num>
  <w:num w:numId="4" w16cid:durableId="1770152457">
    <w:abstractNumId w:val="4"/>
  </w:num>
  <w:num w:numId="5" w16cid:durableId="195894781">
    <w:abstractNumId w:val="0"/>
  </w:num>
  <w:num w:numId="6" w16cid:durableId="727337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6E5"/>
    <w:rsid w:val="000156E5"/>
    <w:rsid w:val="00206917"/>
    <w:rsid w:val="0055362A"/>
    <w:rsid w:val="00640C7F"/>
    <w:rsid w:val="006F6524"/>
    <w:rsid w:val="008C6034"/>
    <w:rsid w:val="00D00CD8"/>
    <w:rsid w:val="00D61514"/>
    <w:rsid w:val="00D922AC"/>
    <w:rsid w:val="00DD64E1"/>
    <w:rsid w:val="00F0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2A79"/>
  <w15:docId w15:val="{E814082D-46D6-44F6-972C-B58206FF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D61514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1082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Dąbrowa</cp:lastModifiedBy>
  <cp:revision>8</cp:revision>
  <dcterms:created xsi:type="dcterms:W3CDTF">2025-09-01T19:45:00Z</dcterms:created>
  <dcterms:modified xsi:type="dcterms:W3CDTF">2025-09-01T19:53:00Z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2024-09-11T23:01:09Z</dcterms:created>
  <dc:creator/>
  <dc:description/>
  <dc:language>pl-PL</dc:language>
  <cp:lastModifiedBy/>
  <dcterms:modified xsi:type="dcterms:W3CDTF">2024-09-11T23:08:34Z</dcterms:modified>
  <cp:revision>2</cp:revision>
  <dc:subject/>
  <dc:title/>
</cp:coreProperties>
</file>